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Leverandørtjek for AI-værktøjer</w:t>
      </w:r>
    </w:p>
    <w:p>
      <w:r>
        <w:t>Rosenlund CoSolve  |  Version 1.0  |  14. oktober 2026</w:t>
      </w:r>
    </w:p>
    <w:p>
      <w:r>
        <w:t>Brug tjeklisten før køb, afprøvning eller udvidelse af et AI-værktøj. Bed om dokumenterede svar og notér åbne punkter. Et ja til alle spørgsmål er ikke en automatisk godkendelse.</w:t>
      </w:r>
    </w:p>
    <w:p>
      <w:r>
        <w:t>Leverandør og system: [navn og version]</w:t>
        <w:br/>
        <w:t>Formål: [anvendelse]    Ansvarlig: [navn]    Dato: [dato]</w:t>
      </w:r>
    </w:p>
    <w:p>
      <w:pPr>
        <w:pStyle w:val="Heading1"/>
      </w:pPr>
      <w:r>
        <w:t>Formål og rolle</w:t>
      </w:r>
    </w:p>
    <w:p>
      <w:pPr>
        <w:keepNext/>
      </w:pPr>
      <w:r>
        <w:t>☐ Hvilke opgaver og begrænsninger er løsningen beregnet til?</w:t>
      </w:r>
    </w:p>
    <w:p>
      <w:r>
        <w:t>Svar og dokumentation: [udfyld]</w:t>
      </w:r>
    </w:p>
    <w:p>
      <w:pPr>
        <w:keepNext/>
      </w:pPr>
      <w:r>
        <w:t>☐ Hvad er vores rolle, og hvilke AI Act-forpligtelser har leverandøren?</w:t>
      </w:r>
    </w:p>
    <w:p>
      <w:r>
        <w:t>Svar og dokumentation: [udfyld]</w:t>
      </w:r>
    </w:p>
    <w:p>
      <w:pPr>
        <w:keepNext/>
      </w:pPr>
      <w:r>
        <w:t>☐ Findes dokumentation for relevante højrisiko- eller transparenskrav?</w:t>
      </w:r>
    </w:p>
    <w:p>
      <w:r>
        <w:t>Svar og dokumentation: [udfyld]</w:t>
      </w:r>
    </w:p>
    <w:p>
      <w:pPr>
        <w:pStyle w:val="Heading1"/>
      </w:pPr>
      <w:r>
        <w:t>Data og aftaler</w:t>
      </w:r>
    </w:p>
    <w:p>
      <w:pPr>
        <w:keepNext/>
      </w:pPr>
      <w:r>
        <w:t>☐ Hvilke data modtages, skabes, lagres og bruges til træning? Kan træning på vores data fravælges?</w:t>
      </w:r>
    </w:p>
    <w:p>
      <w:r>
        <w:t>Svar og dokumentation: [udfyld]</w:t>
      </w:r>
    </w:p>
    <w:p>
      <w:pPr>
        <w:keepNext/>
      </w:pPr>
      <w:r>
        <w:t>☐ Hvem er dataansvarlig og databehandler for hver behandling? Er relevante aftaler tilgængelige?</w:t>
      </w:r>
    </w:p>
    <w:p>
      <w:r>
        <w:t>Svar og dokumentation: [udfyld]</w:t>
      </w:r>
    </w:p>
    <w:p>
      <w:pPr>
        <w:keepNext/>
      </w:pPr>
      <w:r>
        <w:t>☐ Hvor behandles data, og hvilke underleverandører bruges? Hvad er grundlaget for overførsler uden for EU/EØS?</w:t>
      </w:r>
    </w:p>
    <w:p>
      <w:r>
        <w:t>Svar og dokumentation: [udfyld]</w:t>
      </w:r>
    </w:p>
    <w:p>
      <w:pPr>
        <w:keepNext/>
      </w:pPr>
      <w:r>
        <w:t>☐ Hvor længe lagres input, output og logs? Hvordan slettes og eksporteres de?</w:t>
      </w:r>
    </w:p>
    <w:p>
      <w:r>
        <w:t>Svar og dokumentation: [udfyld]</w:t>
      </w:r>
    </w:p>
    <w:p>
      <w:r>
        <w:br w:type="page"/>
      </w:r>
    </w:p>
    <w:p>
      <w:pPr>
        <w:pStyle w:val="Heading1"/>
      </w:pPr>
      <w:r>
        <w:t>Sikkerhed og kontrol</w:t>
      </w:r>
    </w:p>
    <w:p>
      <w:pPr>
        <w:keepNext/>
      </w:pPr>
      <w:r>
        <w:t>☐ Hvordan styres identiteter, roller, adgang og logning?</w:t>
      </w:r>
    </w:p>
    <w:p>
      <w:r>
        <w:t>Svar og dokumentation: [udfyld]</w:t>
      </w:r>
    </w:p>
    <w:p>
      <w:pPr>
        <w:keepNext/>
      </w:pPr>
      <w:r>
        <w:t>☐ Hvilke sikkerhedsforanstaltninger og uafhængige kontroller kan dokumenteres?</w:t>
      </w:r>
    </w:p>
    <w:p>
      <w:r>
        <w:t>Svar og dokumentation: [udfyld]</w:t>
      </w:r>
    </w:p>
    <w:p>
      <w:pPr>
        <w:keepNext/>
      </w:pPr>
      <w:r>
        <w:t>☐ Hvordan kan medarbejdere kontrollere, rette og tilsidesætte resultater?</w:t>
      </w:r>
    </w:p>
    <w:p>
      <w:r>
        <w:t>Svar og dokumentation: [udfyld]</w:t>
      </w:r>
    </w:p>
    <w:p>
      <w:pPr>
        <w:keepNext/>
      </w:pPr>
      <w:r>
        <w:t>☐ Hvordan håndteres fejl, brud, support og ændringer i model eller funktion?</w:t>
      </w:r>
    </w:p>
    <w:p>
      <w:r>
        <w:t>Svar og dokumentation: [udfyld]</w:t>
      </w:r>
    </w:p>
    <w:p>
      <w:pPr>
        <w:pStyle w:val="Heading1"/>
      </w:pPr>
      <w:r>
        <w:t>Indhold og drift</w:t>
      </w:r>
    </w:p>
    <w:p>
      <w:pPr>
        <w:keepNext/>
      </w:pPr>
      <w:r>
        <w:t>☐ Hvilke rettigheder har vi til input og output? Hvordan håndteres ophavsret?</w:t>
      </w:r>
    </w:p>
    <w:p>
      <w:r>
        <w:t>Svar og dokumentation: [udfyld]</w:t>
      </w:r>
    </w:p>
    <w:p>
      <w:pPr>
        <w:keepNext/>
      </w:pPr>
      <w:r>
        <w:t>☐ Hvordan understøttes nødvendig information om AI og mærkning af syntetisk indhold?</w:t>
      </w:r>
    </w:p>
    <w:p>
      <w:r>
        <w:t>Svar og dokumentation: [udfyld]</w:t>
      </w:r>
    </w:p>
    <w:p>
      <w:pPr>
        <w:keepNext/>
      </w:pPr>
      <w:r>
        <w:t>☐ Hvad sker der ved driftsstop, opsigelse eller leverandørskifte?</w:t>
      </w:r>
    </w:p>
    <w:p>
      <w:r>
        <w:t>Svar og dokumentation: [udfyld]</w:t>
      </w:r>
    </w:p>
    <w:p>
      <w:pPr>
        <w:pStyle w:val="Heading1"/>
      </w:pPr>
      <w:r>
        <w:t>Beslutning og åbne punkter</w:t>
      </w:r>
    </w:p>
    <w:p>
      <w:r>
        <w:t>Beslutning: [godkendt / godkendt med betingelser / afventer / afvist]</w:t>
        <w:br/>
        <w:t>Åbne punkter og ansvarlige: [udfyld]</w:t>
        <w:br/>
        <w:t>Frist og næste revision: [dato]</w:t>
        <w:br/>
        <w:t>Godkendt af: [navn og rolle]</w:t>
      </w:r>
    </w:p>
    <w:p>
      <w:r>
        <w:t>Fagligt udgangspunkt: Europa-Kommissionens AI Act-overblik, kontrolleret 14. oktober 2026. https://digital-strategy.ec.europa.eu/en/policies/regulatory-framework-ai</w:t>
      </w:r>
    </w:p>
    <w:p>
      <w:r>
        <w:t>Skabelonen skal tilpasses og godkendes af virksomheden. Den er generel vejledning og ikke juridisk rådgivning. https://rosenlundcosolve.dk | casper@rosenlundcosolve.dk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