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AI-politik for virksomheden</w:t>
      </w:r>
    </w:p>
    <w:p>
      <w:r>
        <w:t>Rosenlund CoSolve  |  Version 1.0  |  14. oktober 2026</w:t>
      </w:r>
    </w:p>
    <w:p>
      <w:r>
        <w:t>Brug skabelonen til at fastlægge fælles rammer for virksomhedens AI-anvendelser. Udfyld felterne i kantede parenteser, tilpas reglerne til jeres data og opgaver, og godkend politikken før den sættes i kraft.</w:t>
      </w:r>
    </w:p>
    <w:p>
      <w:r>
        <w:t>Virksomhed: [navn]    Ansvarlig: [navn og rolle]</w:t>
        <w:br/>
        <w:t>Godkendt af: [navn]    Gældende fra: [dato]    Næste revision: [dato]</w:t>
      </w:r>
    </w:p>
    <w:p>
      <w:pPr>
        <w:pStyle w:val="Heading1"/>
      </w:pPr>
      <w:r>
        <w:t>Formål og anvendelse</w:t>
      </w:r>
    </w:p>
    <w:p>
      <w:r>
        <w:t>Vi bruger AI til [formål og opgaver]. Politikken gælder medarbejdere og andre, der bruger AI på virksomhedens vegne, også funktioner indbygget i standardsoftware og private AI-konti, der bruges til arbejdsopgaver.</w:t>
      </w:r>
    </w:p>
    <w:p>
      <w:pPr>
        <w:pStyle w:val="Heading1"/>
      </w:pPr>
      <w:r>
        <w:t>Godkendte værktøjer</w:t>
      </w:r>
    </w:p>
    <w:p>
      <w:r>
        <w:t>Godkendte værktøjer og anvendelser fremgår af [henvisning til AI-register]. Nye værktøjer, formål eller væsentlige ændringer skal godkendes af [rolle], før de tages i brug. En godkendelse af et værktøj er ikke automatisk en godkendelse af alle typer data eller opgaver.</w:t>
      </w:r>
    </w:p>
    <w:p>
      <w:pPr>
        <w:pStyle w:val="Heading1"/>
      </w:pPr>
      <w:r>
        <w:t>Data og fortrolighed</w:t>
      </w:r>
    </w:p>
    <w:p>
      <w:r>
        <w:t>Indtast kun oplysninger, som er godkendt til det konkrete værktøj og formål. Adgangskoder, forretningshemmeligheder og følsomme personoplysninger må ikke indtastes uden særskilt dokumenteret vurdering og godkendelse.</w:t>
      </w:r>
    </w:p>
    <w:p>
      <w:r>
        <w:t>Personoplysninger og kundedata kræver afklaring af behandlingsgrundlag, leverandørvilkår, adgang, opbevaring, eventuel træning på input og overførsler uden for EU/EØS. Brug anonymiserede eller opdigtede data til afprøvning, hvor det er muligt.</w:t>
      </w:r>
    </w:p>
    <w:p>
      <w:pPr>
        <w:pStyle w:val="Heading1"/>
      </w:pPr>
      <w:r>
        <w:t>Menneskelig kontrol</w:t>
      </w:r>
    </w:p>
    <w:p>
      <w:r>
        <w:t>Den ansvarlige medarbejder kontrollerer AI-output før brug. Kontrollen skal passe til konsekvenserne af fejl og omfatte fakta, beregninger, kvalitet, diskrimination og relevante rettigheder. AI-output må ikke ukritisk bruges som beslutningsgrundlag.</w:t>
      </w:r>
    </w:p>
    <w:p>
      <w:r>
        <w:t>Beslutninger med væsentlig betydning for personer eller sikkerhed kræver særskilt faglig vurdering, dokumenteret ansvar og mulighed for at standse eller tilsidesætte løsningen.</w:t>
      </w:r>
    </w:p>
    <w:p>
      <w:r>
        <w:br w:type="page"/>
      </w:r>
    </w:p>
    <w:p>
      <w:pPr>
        <w:pStyle w:val="Heading1"/>
      </w:pPr>
      <w:r>
        <w:t>Rolle risiko og åbenhed</w:t>
      </w:r>
    </w:p>
    <w:p>
      <w:r>
        <w:t>[Ansvarlig] vurderer virksomhedens rolle og den konkrete anvendelse før godkendelse. Mistanke om forbudt praksis eller højrisikoanvendelse eskaleres til [kontakt].</w:t>
      </w:r>
    </w:p>
    <w:p>
      <w:r>
        <w:t>Vi informerer om AI-interaktion og mærker relevant syntetisk indhold, hvor reglerne kræver det. [Rolle] afklarer krav og undtagelser for den konkrete anvendelse.</w:t>
      </w:r>
    </w:p>
    <w:p>
      <w:pPr>
        <w:pStyle w:val="Heading1"/>
      </w:pPr>
      <w:r>
        <w:t>Oplæring og hændelser</w:t>
      </w:r>
    </w:p>
    <w:p>
      <w:r>
        <w:t>Medarbejdere får relevant oplæring før brug og ved væsentlige ændringer. Oplæringen tilpasses opgaver, erfaring og risiko og registreres i [sted].</w:t>
      </w:r>
    </w:p>
    <w:p>
      <w:r>
        <w:t>Fejl, datalæk, mistænkeligt output eller uautoriseret brug meldes straks til [kontakt og kanal]. Ved mulig væsentlig skade stoppes den konkrete anvendelse, indtil den er vurderet. Persondatabrud håndteres også efter virksomhedens procedure for GDPR.</w:t>
      </w:r>
    </w:p>
    <w:p>
      <w:pPr>
        <w:pStyle w:val="Heading1"/>
      </w:pPr>
      <w:r>
        <w:t>Ansvar og opfølgning</w:t>
      </w:r>
    </w:p>
    <w:p>
      <w:r>
        <w:t>Systemejeren vedligeholder AI-registeret, leverandørdokumentation og kontrolforanstaltninger. [Rolle] reviderer politikken mindst [interval] og ved ændringer i brug, system, leverandørvilkår eller regler.</w:t>
      </w:r>
    </w:p>
    <w:p>
      <w:r>
        <w:t>Medarbejdere skal kende politikken og vide, hvor de kan få hjælp. Godkendelse og kommunikation dokumenteres i [sted].</w:t>
      </w:r>
    </w:p>
    <w:p>
      <w:r>
        <w:t>Fagligt udgangspunkt: Europa-Kommissionens AI Act-overblik, kontrolleret 14. oktober 2026. https://digital-strategy.ec.europa.eu/en/policies/regulatory-framework-ai</w:t>
      </w:r>
    </w:p>
    <w:p>
      <w:r>
        <w:t>Skabelonen skal tilpasses og godkendes af virksomheden. Den er generel vejledning og ikke juridisk rådgivning. https://rosenlundcosolve.dk | casper@rosenlundcosolve.dk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